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071E" w14:textId="77777777" w:rsidR="00DF3FEA" w:rsidRDefault="00DF3FEA" w:rsidP="00DF3FEA">
      <w:pPr>
        <w:pStyle w:val="NormalWeb"/>
        <w:shd w:val="clear" w:color="auto" w:fill="FFFFFF"/>
        <w:spacing w:before="0" w:beforeAutospacing="0" w:after="0" w:afterAutospacing="0"/>
        <w:textAlignment w:val="baseline"/>
        <w:rPr>
          <w:rFonts w:ascii="droid serif" w:hAnsi="droid serif"/>
          <w:color w:val="333333"/>
        </w:rPr>
      </w:pPr>
      <w:r>
        <w:rPr>
          <w:rStyle w:val="Strong"/>
          <w:rFonts w:ascii="inherit" w:hAnsi="inherit"/>
          <w:color w:val="333333"/>
          <w:bdr w:val="none" w:sz="0" w:space="0" w:color="auto" w:frame="1"/>
        </w:rPr>
        <w:t>20 Simple Assessment Strategies You Can Use Every Day</w:t>
      </w:r>
    </w:p>
    <w:p w14:paraId="4DA3CA90" w14:textId="1F2DF767" w:rsidR="00DF3FEA" w:rsidRDefault="00DF3FEA" w:rsidP="00DF3FEA">
      <w:pPr>
        <w:pStyle w:val="NormalWeb"/>
        <w:shd w:val="clear" w:color="auto" w:fill="FFFFFF"/>
        <w:spacing w:before="0" w:beforeAutospacing="0" w:after="0" w:afterAutospacing="0"/>
        <w:textAlignment w:val="baseline"/>
        <w:rPr>
          <w:rFonts w:ascii="droid serif" w:hAnsi="droid serif"/>
          <w:color w:val="333333"/>
        </w:rPr>
      </w:pPr>
      <w:r>
        <w:rPr>
          <w:rFonts w:ascii="droid serif" w:hAnsi="droid serif"/>
          <w:color w:val="333333"/>
        </w:rPr>
        <w:t>contributed by </w:t>
      </w:r>
      <w:r>
        <w:rPr>
          <w:rStyle w:val="Strong"/>
          <w:rFonts w:ascii="inherit" w:hAnsi="inherit"/>
          <w:color w:val="333333"/>
          <w:bdr w:val="none" w:sz="0" w:space="0" w:color="auto" w:frame="1"/>
        </w:rPr>
        <w:t>Saga Briggs</w:t>
      </w:r>
      <w:r>
        <w:rPr>
          <w:rStyle w:val="Strong"/>
          <w:rFonts w:ascii="inherit" w:hAnsi="inherit"/>
          <w:color w:val="333333"/>
          <w:bdr w:val="none" w:sz="0" w:space="0" w:color="auto" w:frame="1"/>
        </w:rPr>
        <w:t xml:space="preserve"> (TeachThought.Com)</w:t>
      </w:r>
    </w:p>
    <w:p w14:paraId="1AA0EA0E"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p>
    <w:p w14:paraId="1C06C64A"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inherit" w:eastAsia="Times New Roman" w:hAnsi="inherit" w:cs="Times New Roman"/>
          <w:b/>
          <w:bCs/>
          <w:color w:val="333333"/>
          <w:bdr w:val="none" w:sz="0" w:space="0" w:color="auto" w:frame="1"/>
        </w:rPr>
        <w:t>1. An open-ended question that gets them writing/talking</w:t>
      </w:r>
    </w:p>
    <w:p w14:paraId="4AF1D488"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rPr>
      </w:pPr>
      <w:r w:rsidRPr="00DF3FEA">
        <w:rPr>
          <w:rFonts w:ascii="droid serif" w:eastAsia="Times New Roman" w:hAnsi="droid serif" w:cs="Times New Roman"/>
          <w:color w:val="333333"/>
        </w:rPr>
        <w:t>Avoid yes/no questions and phrases like “Does this make sense?” In response to these questions, students usually answer ‘yes.’ So, of course, it’s surprising when several students later admit that they’re lost.</w:t>
      </w:r>
    </w:p>
    <w:p w14:paraId="3A734278"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rPr>
      </w:pPr>
      <w:r w:rsidRPr="00DF3FEA">
        <w:rPr>
          <w:rFonts w:ascii="droid serif" w:eastAsia="Times New Roman" w:hAnsi="droid serif" w:cs="Times New Roman"/>
          <w:color w:val="333333"/>
        </w:rPr>
        <w:t>To help students grasp ideas in class, ask open-ended questions that require students that get students writing/talking. They will undoubtedly reveal more than you would’ve thought to ask directly.</w:t>
      </w:r>
    </w:p>
    <w:p w14:paraId="72C9BFFF"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inherit" w:eastAsia="Times New Roman" w:hAnsi="inherit" w:cs="Times New Roman"/>
          <w:b/>
          <w:bCs/>
          <w:color w:val="333333"/>
          <w:bdr w:val="none" w:sz="0" w:space="0" w:color="auto" w:frame="1"/>
        </w:rPr>
        <w:t>2. Ask students to reflect</w:t>
      </w:r>
    </w:p>
    <w:p w14:paraId="40D781A3"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rPr>
      </w:pPr>
      <w:r w:rsidRPr="00DF3FEA">
        <w:rPr>
          <w:rFonts w:ascii="droid serif" w:eastAsia="Times New Roman" w:hAnsi="droid serif" w:cs="Times New Roman"/>
          <w:color w:val="333333"/>
        </w:rPr>
        <w:t>During the last five minutes of class ask students to reflect on the lesson and write down what they’ve learned. Then, ask them to consider how they would apply this concept or skill in a practical setting.</w:t>
      </w:r>
    </w:p>
    <w:p w14:paraId="2695288D"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inherit" w:eastAsia="Times New Roman" w:hAnsi="inherit" w:cs="Times New Roman"/>
          <w:b/>
          <w:bCs/>
          <w:color w:val="333333"/>
          <w:bdr w:val="none" w:sz="0" w:space="0" w:color="auto" w:frame="1"/>
        </w:rPr>
        <w:t>3. Use quizzes</w:t>
      </w:r>
    </w:p>
    <w:p w14:paraId="43417700"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droid serif" w:eastAsia="Times New Roman" w:hAnsi="droid serif" w:cs="Times New Roman"/>
          <w:color w:val="333333"/>
        </w:rPr>
        <w:t>Give a short quiz at the end of class to </w:t>
      </w:r>
      <w:hyperlink r:id="rId4" w:history="1">
        <w:r w:rsidRPr="00DF3FEA">
          <w:rPr>
            <w:rFonts w:ascii="inherit" w:eastAsia="Times New Roman" w:hAnsi="inherit" w:cs="Times New Roman"/>
            <w:b/>
            <w:bCs/>
            <w:color w:val="C91212"/>
            <w:bdr w:val="none" w:sz="0" w:space="0" w:color="auto" w:frame="1"/>
          </w:rPr>
          <w:t>check for comprehension</w:t>
        </w:r>
      </w:hyperlink>
      <w:r w:rsidRPr="00DF3FEA">
        <w:rPr>
          <w:rFonts w:ascii="droid serif" w:eastAsia="Times New Roman" w:hAnsi="droid serif" w:cs="Times New Roman"/>
          <w:color w:val="333333"/>
        </w:rPr>
        <w:t>.</w:t>
      </w:r>
    </w:p>
    <w:p w14:paraId="417F034E"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inherit" w:eastAsia="Times New Roman" w:hAnsi="inherit" w:cs="Times New Roman"/>
          <w:b/>
          <w:bCs/>
          <w:color w:val="333333"/>
          <w:bdr w:val="none" w:sz="0" w:space="0" w:color="auto" w:frame="1"/>
        </w:rPr>
        <w:t>4. Ask students to summarize</w:t>
      </w:r>
    </w:p>
    <w:p w14:paraId="40AEAC0A"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rPr>
      </w:pPr>
      <w:r w:rsidRPr="00DF3FEA">
        <w:rPr>
          <w:rFonts w:ascii="droid serif" w:eastAsia="Times New Roman" w:hAnsi="droid serif" w:cs="Times New Roman"/>
          <w:color w:val="333333"/>
        </w:rPr>
        <w:t>Have students summarize or paraphrase important concepts and lessons. This can be done orally, visually, or otherwise.</w:t>
      </w:r>
    </w:p>
    <w:p w14:paraId="080ADA45"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inherit" w:eastAsia="Times New Roman" w:hAnsi="inherit" w:cs="Times New Roman"/>
          <w:b/>
          <w:bCs/>
          <w:color w:val="333333"/>
          <w:bdr w:val="none" w:sz="0" w:space="0" w:color="auto" w:frame="1"/>
        </w:rPr>
        <w:t>5. Hand signals</w:t>
      </w:r>
    </w:p>
    <w:p w14:paraId="23644C5B"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droid serif" w:eastAsia="Times New Roman" w:hAnsi="droid serif" w:cs="Times New Roman"/>
          <w:color w:val="333333"/>
        </w:rPr>
        <w:t>Hand signals can be used to rate or indicate students’ understanding of content. Students can show anywhere from five fingers to signal maximum understanding to one finger to signal minimal understanding. This strategy requires engagement by all students and allows the teacher to</w:t>
      </w:r>
      <w:hyperlink r:id="rId5" w:history="1">
        <w:r w:rsidRPr="00DF3FEA">
          <w:rPr>
            <w:rFonts w:ascii="inherit" w:eastAsia="Times New Roman" w:hAnsi="inherit" w:cs="Times New Roman"/>
            <w:b/>
            <w:bCs/>
            <w:color w:val="C91212"/>
            <w:bdr w:val="none" w:sz="0" w:space="0" w:color="auto" w:frame="1"/>
          </w:rPr>
          <w:t> chec</w:t>
        </w:r>
        <w:r w:rsidRPr="00DF3FEA">
          <w:rPr>
            <w:rFonts w:ascii="inherit" w:eastAsia="Times New Roman" w:hAnsi="inherit" w:cs="Times New Roman"/>
            <w:b/>
            <w:bCs/>
            <w:color w:val="C91212"/>
            <w:bdr w:val="none" w:sz="0" w:space="0" w:color="auto" w:frame="1"/>
          </w:rPr>
          <w:t>k</w:t>
        </w:r>
        <w:r w:rsidRPr="00DF3FEA">
          <w:rPr>
            <w:rFonts w:ascii="inherit" w:eastAsia="Times New Roman" w:hAnsi="inherit" w:cs="Times New Roman"/>
            <w:b/>
            <w:bCs/>
            <w:color w:val="C91212"/>
            <w:bdr w:val="none" w:sz="0" w:space="0" w:color="auto" w:frame="1"/>
          </w:rPr>
          <w:t xml:space="preserve"> for understanding</w:t>
        </w:r>
      </w:hyperlink>
      <w:r w:rsidRPr="00DF3FEA">
        <w:rPr>
          <w:rFonts w:ascii="droid serif" w:eastAsia="Times New Roman" w:hAnsi="droid serif" w:cs="Times New Roman"/>
          <w:color w:val="333333"/>
        </w:rPr>
        <w:t> within a large group.</w:t>
      </w:r>
    </w:p>
    <w:p w14:paraId="59D1F6E1" w14:textId="77777777" w:rsidR="00DF3FEA" w:rsidRPr="00DF3FEA" w:rsidRDefault="00DF3FEA" w:rsidP="00DF3FEA">
      <w:pPr>
        <w:shd w:val="clear" w:color="auto" w:fill="FFFFFF"/>
        <w:textAlignment w:val="baseline"/>
        <w:rPr>
          <w:rFonts w:ascii="droid serif" w:eastAsia="Times New Roman" w:hAnsi="droid serif" w:cs="Times New Roman"/>
          <w:color w:val="333333"/>
        </w:rPr>
      </w:pPr>
      <w:r w:rsidRPr="00DF3FEA">
        <w:rPr>
          <w:rFonts w:ascii="inherit" w:eastAsia="Times New Roman" w:hAnsi="inherit" w:cs="Times New Roman"/>
          <w:b/>
          <w:bCs/>
          <w:color w:val="333333"/>
          <w:bdr w:val="none" w:sz="0" w:space="0" w:color="auto" w:frame="1"/>
        </w:rPr>
        <w:t>6. Response cards</w:t>
      </w:r>
    </w:p>
    <w:p w14:paraId="66F8FBF0"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rPr>
      </w:pPr>
      <w:r w:rsidRPr="00DF3FEA">
        <w:rPr>
          <w:rFonts w:ascii="droid serif" w:eastAsia="Times New Roman" w:hAnsi="droid serif" w:cs="Times New Roman"/>
          <w:color w:val="333333"/>
        </w:rPr>
        <w:t>Index cards, signs, whiteboards, magnetic boards, or other items are simultaneously held up by all students in class to indicate their response to a question or problem presented by the teacher. Using response devices, the teacher can easily note the responses of individual students while teaching the whole group.</w:t>
      </w:r>
    </w:p>
    <w:p w14:paraId="78E61D18" w14:textId="77777777" w:rsidR="00DF3FEA" w:rsidRPr="00DF3FEA" w:rsidRDefault="00DF3FEA" w:rsidP="00DF3FEA">
      <w:pPr>
        <w:shd w:val="clear" w:color="auto" w:fill="FFFFFF"/>
        <w:textAlignment w:val="baseline"/>
        <w:rPr>
          <w:rFonts w:ascii="Times New Roman" w:eastAsia="Times New Roman" w:hAnsi="Times New Roman" w:cs="Times New Roman"/>
          <w:bdr w:val="none" w:sz="0" w:space="0" w:color="auto" w:frame="1"/>
        </w:rPr>
      </w:pPr>
      <w:r w:rsidRPr="00DF3FEA">
        <w:rPr>
          <w:rFonts w:ascii="inherit" w:eastAsia="Times New Roman" w:hAnsi="inherit" w:cs="Times New Roman"/>
          <w:b/>
          <w:bCs/>
          <w:color w:val="333333"/>
          <w:bdr w:val="none" w:sz="0" w:space="0" w:color="auto" w:frame="1"/>
        </w:rPr>
        <w:t>7. Four corners</w:t>
      </w:r>
    </w:p>
    <w:p w14:paraId="2EF72C0A" w14:textId="77777777" w:rsidR="00DF3FEA" w:rsidRPr="00DF3FEA" w:rsidRDefault="00DF3FEA" w:rsidP="00DF3FEA">
      <w:pPr>
        <w:shd w:val="clear" w:color="auto" w:fill="FFFFFF"/>
        <w:spacing w:after="300"/>
        <w:textAlignment w:val="baseline"/>
        <w:rPr>
          <w:rFonts w:ascii="Times New Roman" w:eastAsia="Times New Roman" w:hAnsi="Times New Roman" w:cs="Times New Roman"/>
        </w:rPr>
      </w:pPr>
      <w:r w:rsidRPr="00DF3FEA">
        <w:rPr>
          <w:rFonts w:ascii="droid serif" w:eastAsia="Times New Roman" w:hAnsi="droid serif" w:cs="Times New Roman"/>
          <w:color w:val="333333"/>
          <w:bdr w:val="none" w:sz="0" w:space="0" w:color="auto" w:frame="1"/>
        </w:rPr>
        <w:t>A quick and easy snapshot of student understanding, Four Corners provides an opportunity for student movement while permitting the teacher to monitor and assess understanding.</w:t>
      </w:r>
    </w:p>
    <w:p w14:paraId="5B613B19"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The teacher poses a question or makes a statement. Students then move to the appropriate corner of the classroom to indicate their response to the prompt. For example, the corner choices might include “I strongly agree,” “I strongly disagree,” “I agree somewhat,” and “I’m not sure.”</w:t>
      </w:r>
    </w:p>
    <w:p w14:paraId="3B601288"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8. Think-pair-share</w:t>
      </w:r>
    </w:p>
    <w:p w14:paraId="6FB3CB76" w14:textId="77777777" w:rsidR="00DF3FEA" w:rsidRPr="00DF3FEA" w:rsidRDefault="00DF3FEA" w:rsidP="00DF3FEA">
      <w:pPr>
        <w:rPr>
          <w:rFonts w:ascii="Times New Roman" w:eastAsia="Times New Roman" w:hAnsi="Times New Roman" w:cs="Times New Roman"/>
          <w:bdr w:val="none" w:sz="0" w:space="0" w:color="auto" w:frame="1"/>
        </w:rPr>
      </w:pPr>
      <w:r w:rsidRPr="00DF3FEA">
        <w:rPr>
          <w:rFonts w:ascii="Times New Roman" w:eastAsia="Times New Roman" w:hAnsi="Times New Roman" w:cs="Times New Roman"/>
          <w:bdr w:val="none" w:sz="0" w:space="0" w:color="auto" w:frame="1"/>
        </w:rPr>
        <w:lastRenderedPageBreak/>
        <w:t>Students take a few minutes to think about the question or prompt. Next, they pair with a designated partner to compare thoughts before sharing with the whole class.</w:t>
      </w:r>
    </w:p>
    <w:p w14:paraId="5F9168D3"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9. Choral read</w:t>
      </w:r>
      <w:bookmarkStart w:id="0" w:name="_GoBack"/>
      <w:bookmarkEnd w:id="0"/>
      <w:r w:rsidRPr="00DF3FEA">
        <w:rPr>
          <w:rFonts w:ascii="inherit" w:eastAsia="Times New Roman" w:hAnsi="inherit" w:cs="Times New Roman"/>
          <w:b/>
          <w:bCs/>
          <w:color w:val="333333"/>
          <w:bdr w:val="none" w:sz="0" w:space="0" w:color="auto" w:frame="1"/>
        </w:rPr>
        <w:t>ing</w:t>
      </w:r>
    </w:p>
    <w:p w14:paraId="686F4356"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Students mark text to identify a particular concept and chime in, reading the marked text aloud in unison with the teacher. This strategy helps students develop fluency; differentiate between the reading of statements and questions; and practice phrasing, pacing, and reading dialogue.</w:t>
      </w:r>
    </w:p>
    <w:p w14:paraId="0F772E89"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10. One question quiz</w:t>
      </w:r>
    </w:p>
    <w:p w14:paraId="6A40EDA5"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Ask a single focused question with a specific goal that can be answered within a minute or two. You can quickly scan the written responses to assess student understanding.</w:t>
      </w:r>
    </w:p>
    <w:p w14:paraId="57E9D5C4"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11. Socratic seminar</w:t>
      </w:r>
    </w:p>
    <w:p w14:paraId="40BA9F96"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Students ask questions of one another about an essential question, topic, or selected text. The questions initiate a conversation that continues with a series of responses and additional questions. Students learn to formulate questions that address issues to facilitate their own discussion and arrive at a new understanding.</w:t>
      </w:r>
    </w:p>
    <w:p w14:paraId="52892019"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12. 3-2-1</w:t>
      </w:r>
    </w:p>
    <w:p w14:paraId="71A13A6B"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Students consider what they have learned by responding to the following prompt at the end of the lesson: 3) things they learned from your lesson; 2) things they want to know more about; and 1) questions they have. The prompt </w:t>
      </w:r>
      <w:hyperlink r:id="rId6" w:history="1">
        <w:r w:rsidRPr="00DF3FEA">
          <w:rPr>
            <w:rFonts w:ascii="inherit" w:eastAsia="Times New Roman" w:hAnsi="inherit" w:cs="Times New Roman"/>
            <w:b/>
            <w:bCs/>
            <w:color w:val="C91212"/>
            <w:bdr w:val="none" w:sz="0" w:space="0" w:color="auto" w:frame="1"/>
          </w:rPr>
          <w:t>stimulates student reflection</w:t>
        </w:r>
      </w:hyperlink>
      <w:r w:rsidRPr="00DF3FEA">
        <w:rPr>
          <w:rFonts w:ascii="droid serif" w:eastAsia="Times New Roman" w:hAnsi="droid serif" w:cs="Times New Roman"/>
          <w:color w:val="333333"/>
          <w:bdr w:val="none" w:sz="0" w:space="0" w:color="auto" w:frame="1"/>
        </w:rPr>
        <w:t> on the lesson and helps to process the learning.</w:t>
      </w:r>
    </w:p>
    <w:p w14:paraId="514B04D2"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13. Ticket out the door</w:t>
      </w:r>
    </w:p>
    <w:p w14:paraId="4604C022"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Students write in response to a specific prompt for a short period of time. Teachers collect their responses as a “ticket out the door” to check for students’ understanding of a concept taught. This exercise quickly generates multiple ideas that could be turned into longer pieces of writing at a later time.</w:t>
      </w:r>
    </w:p>
    <w:p w14:paraId="3F4BBC02"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14. Journal reflections</w:t>
      </w:r>
    </w:p>
    <w:p w14:paraId="57786288"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Students write their reflections on a lesson, such as what they learned, what caused them difficulty, strategies they found helpful, or other lesson-related topics. Students can reflect on and process lessons. By reading student work–especially —</w:t>
      </w:r>
      <w:hyperlink r:id="rId7" w:history="1">
        <w:r w:rsidRPr="00DF3FEA">
          <w:rPr>
            <w:rFonts w:ascii="droid serif" w:eastAsia="Times New Roman" w:hAnsi="droid serif" w:cs="Times New Roman"/>
            <w:color w:val="C91212"/>
            <w:bdr w:val="none" w:sz="0" w:space="0" w:color="auto" w:frame="1"/>
          </w:rPr>
          <w:t>types of learning journals that help students think–</w:t>
        </w:r>
      </w:hyperlink>
      <w:r w:rsidRPr="00DF3FEA">
        <w:rPr>
          <w:rFonts w:ascii="droid serif" w:eastAsia="Times New Roman" w:hAnsi="droid serif" w:cs="Times New Roman"/>
          <w:color w:val="333333"/>
          <w:bdr w:val="none" w:sz="0" w:space="0" w:color="auto" w:frame="1"/>
        </w:rPr>
        <w:t>teachers can identify class and individual misconceptions and successes. (See also</w:t>
      </w:r>
    </w:p>
    <w:p w14:paraId="4068D206"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15. Formative pencil–paper assessment</w:t>
      </w:r>
    </w:p>
    <w:p w14:paraId="104E091F"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Students respond individually to short, pencil–paper formative assessments of skills and knowledge taught in the lesson. Teachers may elect to have students self-correct. The teacher collects assessment results to monitor individual student progress and to inform future instruction.</w:t>
      </w:r>
    </w:p>
    <w:p w14:paraId="1CC0B50B"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Both student and teacher can quickly assess whether the student acquired the intended knowledge and skills. This is a formative assessment, so a grade is not the intended purpose.</w:t>
      </w:r>
    </w:p>
    <w:p w14:paraId="27EE251D"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lastRenderedPageBreak/>
        <w:t>16. Misconception check</w:t>
      </w:r>
    </w:p>
    <w:p w14:paraId="76129343"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Present students with common or predictable misconceptions about a concept you’re covering. Ask them whether they agree or disagree and to explain why.</w:t>
      </w:r>
    </w:p>
    <w:p w14:paraId="41A8675A"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17. Analogy prompt</w:t>
      </w:r>
    </w:p>
    <w:p w14:paraId="7491C4D4"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hyperlink r:id="rId8" w:history="1">
        <w:r w:rsidRPr="00DF3FEA">
          <w:rPr>
            <w:rFonts w:ascii="inherit" w:eastAsia="Times New Roman" w:hAnsi="inherit" w:cs="Times New Roman"/>
            <w:b/>
            <w:bCs/>
            <w:color w:val="C91212"/>
            <w:bdr w:val="none" w:sz="0" w:space="0" w:color="auto" w:frame="1"/>
          </w:rPr>
          <w:t>Teaching with analogies</w:t>
        </w:r>
      </w:hyperlink>
      <w:r w:rsidRPr="00DF3FEA">
        <w:rPr>
          <w:rFonts w:ascii="droid serif" w:eastAsia="Times New Roman" w:hAnsi="droid serif" w:cs="Times New Roman"/>
          <w:color w:val="333333"/>
          <w:bdr w:val="none" w:sz="0" w:space="0" w:color="auto" w:frame="1"/>
        </w:rPr>
        <w:t> can be powerful. Periodically, present students with an analogy prompt: “the concept being covered is like ____ because ____.”</w:t>
      </w:r>
    </w:p>
    <w:p w14:paraId="1738F0C1"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18. Practice frequency</w:t>
      </w:r>
    </w:p>
    <w:p w14:paraId="7E78D9C7"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Check for understanding at least three times a lesson, minimum.</w:t>
      </w:r>
    </w:p>
    <w:p w14:paraId="7D4793F0"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19. Use variety</w:t>
      </w:r>
    </w:p>
    <w:p w14:paraId="3E0346B7"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Teachers should use enough different individual and whole group techniques to check understanding that they accurately know what all students know. More than likely, this means during a single class the same technique should not be repeated.</w:t>
      </w:r>
    </w:p>
    <w:p w14:paraId="1EBC9CF2"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20. Make it useful</w:t>
      </w:r>
    </w:p>
    <w:p w14:paraId="44DDA7D0" w14:textId="77777777" w:rsidR="00DF3FEA" w:rsidRPr="00DF3FEA" w:rsidRDefault="00DF3FEA" w:rsidP="00DF3FEA">
      <w:pPr>
        <w:shd w:val="clear" w:color="auto" w:fill="FFFFFF"/>
        <w:spacing w:after="300"/>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The true test is whether or not you can adjust your course or continue as planned based on the information received in each check. Do you need to stop and start over? Pull a few students aside for three minutes to re-teach? Or move on?</w:t>
      </w:r>
    </w:p>
    <w:p w14:paraId="067B9D60"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333333"/>
          <w:bdr w:val="none" w:sz="0" w:space="0" w:color="auto" w:frame="1"/>
        </w:rPr>
        <w:t>21. Peer instruction</w:t>
      </w:r>
    </w:p>
    <w:p w14:paraId="4F5111F0"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333333"/>
          <w:bdr w:val="none" w:sz="0" w:space="0" w:color="auto" w:frame="1"/>
        </w:rPr>
        <w:t>Perhaps the most accurate way to check for understanding is to have one stud</w:t>
      </w:r>
      <w:r w:rsidRPr="00DF3FEA">
        <w:rPr>
          <w:rFonts w:ascii="droid serif" w:eastAsia="Times New Roman" w:hAnsi="droid serif" w:cs="Times New Roman"/>
          <w:color w:val="000000"/>
          <w:bdr w:val="none" w:sz="0" w:space="0" w:color="auto" w:frame="1"/>
        </w:rPr>
        <w:t>ent try to </w:t>
      </w:r>
      <w:hyperlink r:id="rId9" w:history="1">
        <w:r w:rsidRPr="00DF3FEA">
          <w:rPr>
            <w:rFonts w:ascii="droid serif" w:eastAsia="Times New Roman" w:hAnsi="droid serif" w:cs="Times New Roman"/>
            <w:color w:val="000000"/>
            <w:bdr w:val="none" w:sz="0" w:space="0" w:color="auto" w:frame="1"/>
          </w:rPr>
          <w:t>teach another student what she’s learned</w:t>
        </w:r>
      </w:hyperlink>
      <w:r w:rsidRPr="00DF3FEA">
        <w:rPr>
          <w:rFonts w:ascii="droid serif" w:eastAsia="Times New Roman" w:hAnsi="droid serif" w:cs="Times New Roman"/>
          <w:color w:val="000000"/>
          <w:bdr w:val="none" w:sz="0" w:space="0" w:color="auto" w:frame="1"/>
        </w:rPr>
        <w:t>. If she ca</w:t>
      </w:r>
      <w:r w:rsidRPr="00DF3FEA">
        <w:rPr>
          <w:rFonts w:ascii="droid serif" w:eastAsia="Times New Roman" w:hAnsi="droid serif" w:cs="Times New Roman"/>
          <w:color w:val="333333"/>
          <w:bdr w:val="none" w:sz="0" w:space="0" w:color="auto" w:frame="1"/>
        </w:rPr>
        <w:t>n do that successfully, it’s clear she understood your lesson.</w:t>
      </w:r>
    </w:p>
    <w:p w14:paraId="742A0883"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b/>
          <w:bCs/>
          <w:color w:val="000000"/>
          <w:bdr w:val="none" w:sz="0" w:space="0" w:color="auto" w:frame="1"/>
        </w:rPr>
        <w:t>22. “Separate what you do and don’t understand”</w:t>
      </w:r>
    </w:p>
    <w:p w14:paraId="0B95921D"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000000"/>
          <w:bdr w:val="none" w:sz="0" w:space="0" w:color="auto" w:frame="1"/>
        </w:rPr>
        <w:t>Whether making a t-chart, drawing a concept map, or using some other means, have the students not simply list what they think they know, but what they don’t know as well. This won’t be as simple as it sounds–we’re usually not aware of what we don’t know.</w:t>
      </w:r>
    </w:p>
    <w:p w14:paraId="04131437"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000000"/>
          <w:bdr w:val="none" w:sz="0" w:space="0" w:color="auto" w:frame="1"/>
        </w:rPr>
        <w:t>They’ll also often know more or less than they can identify themselves, which makes this strategy a bit crude. But that’s okay–the goal isn’t for them to be precise and complete in their self-evaluation the goal is for you to gain insight as to what they do and don’t know.</w:t>
      </w:r>
    </w:p>
    <w:p w14:paraId="6AFB45DD"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droid serif" w:eastAsia="Times New Roman" w:hAnsi="droid serif" w:cs="Times New Roman"/>
          <w:color w:val="000000"/>
          <w:bdr w:val="none" w:sz="0" w:space="0" w:color="auto" w:frame="1"/>
        </w:rPr>
        <w:t>And seeing what they can even begin to articulate on their own is an excellent starting point here.</w:t>
      </w:r>
    </w:p>
    <w:p w14:paraId="44B41EDA" w14:textId="77777777" w:rsidR="00DF3FEA" w:rsidRPr="00DF3FEA" w:rsidRDefault="00DF3FEA" w:rsidP="00DF3FEA">
      <w:pPr>
        <w:shd w:val="clear" w:color="auto" w:fill="FFFFFF"/>
        <w:textAlignment w:val="baseline"/>
        <w:rPr>
          <w:rFonts w:ascii="droid serif" w:eastAsia="Times New Roman" w:hAnsi="droid serif" w:cs="Times New Roman"/>
          <w:color w:val="333333"/>
          <w:bdr w:val="none" w:sz="0" w:space="0" w:color="auto" w:frame="1"/>
        </w:rPr>
      </w:pPr>
      <w:r w:rsidRPr="00DF3FEA">
        <w:rPr>
          <w:rFonts w:ascii="inherit" w:eastAsia="Times New Roman" w:hAnsi="inherit" w:cs="Times New Roman"/>
          <w:i/>
          <w:iCs/>
          <w:color w:val="333333"/>
          <w:bdr w:val="none" w:sz="0" w:space="0" w:color="auto" w:frame="1"/>
        </w:rPr>
        <w:t xml:space="preserve">This post was written by Saga </w:t>
      </w:r>
      <w:proofErr w:type="spellStart"/>
      <w:r w:rsidRPr="00DF3FEA">
        <w:rPr>
          <w:rFonts w:ascii="inherit" w:eastAsia="Times New Roman" w:hAnsi="inherit" w:cs="Times New Roman"/>
          <w:i/>
          <w:iCs/>
          <w:color w:val="333333"/>
          <w:bdr w:val="none" w:sz="0" w:space="0" w:color="auto" w:frame="1"/>
        </w:rPr>
        <w:t>Briggins</w:t>
      </w:r>
      <w:proofErr w:type="spellEnd"/>
      <w:r w:rsidRPr="00DF3FEA">
        <w:rPr>
          <w:rFonts w:ascii="inherit" w:eastAsia="Times New Roman" w:hAnsi="inherit" w:cs="Times New Roman"/>
          <w:i/>
          <w:iCs/>
          <w:color w:val="333333"/>
          <w:bdr w:val="none" w:sz="0" w:space="0" w:color="auto" w:frame="1"/>
        </w:rPr>
        <w:t xml:space="preserve"> and was first publish by on </w:t>
      </w:r>
      <w:hyperlink r:id="rId10" w:anchor="ixzz30n5SFAYV" w:history="1">
        <w:r w:rsidRPr="00DF3FEA">
          <w:rPr>
            <w:rFonts w:ascii="inherit" w:eastAsia="Times New Roman" w:hAnsi="inherit" w:cs="Times New Roman"/>
            <w:i/>
            <w:iCs/>
            <w:color w:val="003399"/>
            <w:bdr w:val="none" w:sz="0" w:space="0" w:color="auto" w:frame="1"/>
          </w:rPr>
          <w:t>opencolleges.edu.au</w:t>
        </w:r>
      </w:hyperlink>
      <w:r w:rsidRPr="00DF3FEA">
        <w:rPr>
          <w:rFonts w:ascii="inherit" w:eastAsia="Times New Roman" w:hAnsi="inherit" w:cs="Times New Roman"/>
          <w:i/>
          <w:iCs/>
          <w:color w:val="333333"/>
          <w:bdr w:val="none" w:sz="0" w:space="0" w:color="auto" w:frame="1"/>
        </w:rPr>
        <w:t>; 20 Simple Assessment Strategies You Can Use Every Day</w:t>
      </w:r>
    </w:p>
    <w:p w14:paraId="3883418D" w14:textId="77777777" w:rsidR="00A13067" w:rsidRDefault="00A13067"/>
    <w:sectPr w:rsidR="00A13067" w:rsidSect="001D2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EA"/>
    <w:rsid w:val="001D29F5"/>
    <w:rsid w:val="00387BBA"/>
    <w:rsid w:val="00A13067"/>
    <w:rsid w:val="00DF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44A20"/>
  <w14:defaultImageDpi w14:val="32767"/>
  <w15:chartTrackingRefBased/>
  <w15:docId w15:val="{8177701D-E0A9-2D48-A9E3-40A5C895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F3FE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F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3F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3FEA"/>
    <w:rPr>
      <w:b/>
      <w:bCs/>
    </w:rPr>
  </w:style>
  <w:style w:type="character" w:customStyle="1" w:styleId="ezoic-ad">
    <w:name w:val="ezoic-ad"/>
    <w:basedOn w:val="DefaultParagraphFont"/>
    <w:rsid w:val="00DF3FEA"/>
  </w:style>
  <w:style w:type="character" w:styleId="Hyperlink">
    <w:name w:val="Hyperlink"/>
    <w:basedOn w:val="DefaultParagraphFont"/>
    <w:uiPriority w:val="99"/>
    <w:semiHidden/>
    <w:unhideWhenUsed/>
    <w:rsid w:val="00DF3FEA"/>
    <w:rPr>
      <w:color w:val="0000FF"/>
      <w:u w:val="single"/>
    </w:rPr>
  </w:style>
  <w:style w:type="character" w:styleId="Emphasis">
    <w:name w:val="Emphasis"/>
    <w:basedOn w:val="DefaultParagraphFont"/>
    <w:uiPriority w:val="20"/>
    <w:qFormat/>
    <w:rsid w:val="00DF3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47071">
      <w:bodyDiv w:val="1"/>
      <w:marLeft w:val="0"/>
      <w:marRight w:val="0"/>
      <w:marTop w:val="0"/>
      <w:marBottom w:val="0"/>
      <w:divBdr>
        <w:top w:val="none" w:sz="0" w:space="0" w:color="auto"/>
        <w:left w:val="none" w:sz="0" w:space="0" w:color="auto"/>
        <w:bottom w:val="none" w:sz="0" w:space="0" w:color="auto"/>
        <w:right w:val="none" w:sz="0" w:space="0" w:color="auto"/>
      </w:divBdr>
      <w:divsChild>
        <w:div w:id="2065177484">
          <w:marLeft w:val="0"/>
          <w:marRight w:val="0"/>
          <w:marTop w:val="0"/>
          <w:marBottom w:val="0"/>
          <w:divBdr>
            <w:top w:val="none" w:sz="0" w:space="0" w:color="auto"/>
            <w:left w:val="none" w:sz="0" w:space="0" w:color="auto"/>
            <w:bottom w:val="none" w:sz="0" w:space="0" w:color="auto"/>
            <w:right w:val="none" w:sz="0" w:space="0" w:color="auto"/>
          </w:divBdr>
          <w:divsChild>
            <w:div w:id="630864640">
              <w:marLeft w:val="0"/>
              <w:marRight w:val="0"/>
              <w:marTop w:val="0"/>
              <w:marBottom w:val="0"/>
              <w:divBdr>
                <w:top w:val="none" w:sz="0" w:space="0" w:color="auto"/>
                <w:left w:val="none" w:sz="0" w:space="0" w:color="auto"/>
                <w:bottom w:val="none" w:sz="0" w:space="0" w:color="auto"/>
                <w:right w:val="none" w:sz="0" w:space="0" w:color="auto"/>
              </w:divBdr>
              <w:divsChild>
                <w:div w:id="1272475470">
                  <w:marLeft w:val="0"/>
                  <w:marRight w:val="0"/>
                  <w:marTop w:val="0"/>
                  <w:marBottom w:val="300"/>
                  <w:divBdr>
                    <w:top w:val="none" w:sz="0" w:space="0" w:color="auto"/>
                    <w:left w:val="none" w:sz="0" w:space="0" w:color="auto"/>
                    <w:bottom w:val="none" w:sz="0" w:space="0" w:color="auto"/>
                    <w:right w:val="none" w:sz="0" w:space="0" w:color="auto"/>
                  </w:divBdr>
                  <w:divsChild>
                    <w:div w:id="1793479017">
                      <w:marLeft w:val="0"/>
                      <w:marRight w:val="0"/>
                      <w:marTop w:val="120"/>
                      <w:marBottom w:val="300"/>
                      <w:divBdr>
                        <w:top w:val="none" w:sz="0" w:space="0" w:color="auto"/>
                        <w:left w:val="none" w:sz="0" w:space="0" w:color="auto"/>
                        <w:bottom w:val="single" w:sz="12" w:space="0" w:color="EEEEEE"/>
                        <w:right w:val="none" w:sz="0" w:space="0" w:color="auto"/>
                      </w:divBdr>
                    </w:div>
                    <w:div w:id="1952543497">
                      <w:marLeft w:val="0"/>
                      <w:marRight w:val="0"/>
                      <w:marTop w:val="0"/>
                      <w:marBottom w:val="0"/>
                      <w:divBdr>
                        <w:top w:val="none" w:sz="0" w:space="0" w:color="auto"/>
                        <w:left w:val="none" w:sz="0" w:space="0" w:color="auto"/>
                        <w:bottom w:val="none" w:sz="0" w:space="0" w:color="auto"/>
                        <w:right w:val="none" w:sz="0" w:space="0" w:color="auto"/>
                      </w:divBdr>
                      <w:divsChild>
                        <w:div w:id="1127049226">
                          <w:marLeft w:val="0"/>
                          <w:marRight w:val="-450"/>
                          <w:marTop w:val="0"/>
                          <w:marBottom w:val="0"/>
                          <w:divBdr>
                            <w:top w:val="none" w:sz="0" w:space="0" w:color="auto"/>
                            <w:left w:val="none" w:sz="0" w:space="0" w:color="auto"/>
                            <w:bottom w:val="none" w:sz="0" w:space="0" w:color="auto"/>
                            <w:right w:val="none" w:sz="0" w:space="0" w:color="auto"/>
                          </w:divBdr>
                          <w:divsChild>
                            <w:div w:id="357582405">
                              <w:marLeft w:val="0"/>
                              <w:marRight w:val="0"/>
                              <w:marTop w:val="0"/>
                              <w:marBottom w:val="0"/>
                              <w:divBdr>
                                <w:top w:val="none" w:sz="0" w:space="0" w:color="auto"/>
                                <w:left w:val="none" w:sz="0" w:space="0" w:color="auto"/>
                                <w:bottom w:val="none" w:sz="0" w:space="0" w:color="auto"/>
                                <w:right w:val="none" w:sz="0" w:space="0" w:color="auto"/>
                              </w:divBdr>
                              <w:divsChild>
                                <w:div w:id="108280306">
                                  <w:marLeft w:val="0"/>
                                  <w:marRight w:val="0"/>
                                  <w:marTop w:val="0"/>
                                  <w:marBottom w:val="0"/>
                                  <w:divBdr>
                                    <w:top w:val="none" w:sz="0" w:space="0" w:color="auto"/>
                                    <w:left w:val="none" w:sz="0" w:space="0" w:color="auto"/>
                                    <w:bottom w:val="none" w:sz="0" w:space="0" w:color="auto"/>
                                    <w:right w:val="none" w:sz="0" w:space="0" w:color="auto"/>
                                  </w:divBdr>
                                </w:div>
                              </w:divsChild>
                            </w:div>
                            <w:div w:id="419496977">
                              <w:marLeft w:val="1350"/>
                              <w:marRight w:val="0"/>
                              <w:marTop w:val="0"/>
                              <w:marBottom w:val="0"/>
                              <w:divBdr>
                                <w:top w:val="none" w:sz="0" w:space="0" w:color="auto"/>
                                <w:left w:val="none" w:sz="0" w:space="0" w:color="auto"/>
                                <w:bottom w:val="none" w:sz="0" w:space="0" w:color="auto"/>
                                <w:right w:val="none" w:sz="0" w:space="0" w:color="auto"/>
                              </w:divBdr>
                              <w:divsChild>
                                <w:div w:id="1594125287">
                                  <w:marLeft w:val="0"/>
                                  <w:marRight w:val="0"/>
                                  <w:marTop w:val="120"/>
                                  <w:marBottom w:val="0"/>
                                  <w:divBdr>
                                    <w:top w:val="none" w:sz="0" w:space="0" w:color="auto"/>
                                    <w:left w:val="none" w:sz="0" w:space="0" w:color="auto"/>
                                    <w:bottom w:val="none" w:sz="0" w:space="0" w:color="auto"/>
                                    <w:right w:val="none" w:sz="0" w:space="0" w:color="auto"/>
                                  </w:divBdr>
                                  <w:divsChild>
                                    <w:div w:id="1324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0395">
                              <w:marLeft w:val="0"/>
                              <w:marRight w:val="0"/>
                              <w:marTop w:val="0"/>
                              <w:marBottom w:val="0"/>
                              <w:divBdr>
                                <w:top w:val="none" w:sz="0" w:space="0" w:color="auto"/>
                                <w:left w:val="none" w:sz="0" w:space="0" w:color="auto"/>
                                <w:bottom w:val="none" w:sz="0" w:space="0" w:color="auto"/>
                                <w:right w:val="none" w:sz="0" w:space="0" w:color="auto"/>
                              </w:divBdr>
                              <w:divsChild>
                                <w:div w:id="204101714">
                                  <w:marLeft w:val="0"/>
                                  <w:marRight w:val="0"/>
                                  <w:marTop w:val="0"/>
                                  <w:marBottom w:val="0"/>
                                  <w:divBdr>
                                    <w:top w:val="none" w:sz="0" w:space="0" w:color="auto"/>
                                    <w:left w:val="none" w:sz="0" w:space="0" w:color="auto"/>
                                    <w:bottom w:val="none" w:sz="0" w:space="0" w:color="auto"/>
                                    <w:right w:val="none" w:sz="0" w:space="0" w:color="auto"/>
                                  </w:divBdr>
                                </w:div>
                              </w:divsChild>
                            </w:div>
                            <w:div w:id="890507484">
                              <w:marLeft w:val="1350"/>
                              <w:marRight w:val="0"/>
                              <w:marTop w:val="0"/>
                              <w:marBottom w:val="0"/>
                              <w:divBdr>
                                <w:top w:val="none" w:sz="0" w:space="0" w:color="auto"/>
                                <w:left w:val="none" w:sz="0" w:space="0" w:color="auto"/>
                                <w:bottom w:val="none" w:sz="0" w:space="0" w:color="auto"/>
                                <w:right w:val="none" w:sz="0" w:space="0" w:color="auto"/>
                              </w:divBdr>
                              <w:divsChild>
                                <w:div w:id="1934822345">
                                  <w:marLeft w:val="0"/>
                                  <w:marRight w:val="0"/>
                                  <w:marTop w:val="120"/>
                                  <w:marBottom w:val="0"/>
                                  <w:divBdr>
                                    <w:top w:val="none" w:sz="0" w:space="0" w:color="auto"/>
                                    <w:left w:val="none" w:sz="0" w:space="0" w:color="auto"/>
                                    <w:bottom w:val="none" w:sz="0" w:space="0" w:color="auto"/>
                                    <w:right w:val="none" w:sz="0" w:space="0" w:color="auto"/>
                                  </w:divBdr>
                                  <w:divsChild>
                                    <w:div w:id="6240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3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thought.com/critical-thinking/types-of-analogies/" TargetMode="External"/><Relationship Id="rId3" Type="http://schemas.openxmlformats.org/officeDocument/2006/relationships/webSettings" Target="webSettings.xml"/><Relationship Id="rId7" Type="http://schemas.openxmlformats.org/officeDocument/2006/relationships/hyperlink" Target="https://www.teachthought.com/literacy/20-types-of-learning-journals-that-help-students-th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thought.com/critical-thinking/44-prompts-merging-reflective-thinking-blooms-taxonomy/" TargetMode="External"/><Relationship Id="rId11" Type="http://schemas.openxmlformats.org/officeDocument/2006/relationships/fontTable" Target="fontTable.xml"/><Relationship Id="rId5" Type="http://schemas.openxmlformats.org/officeDocument/2006/relationships/hyperlink" Target="https://www.teachthought.com/technology/smart-tools-for-digital-exit-slips/" TargetMode="External"/><Relationship Id="rId10" Type="http://schemas.openxmlformats.org/officeDocument/2006/relationships/hyperlink" Target="http://www.opencolleges.edu.au/informed/features/21-ways-to-check-for-student-understanding/" TargetMode="External"/><Relationship Id="rId4" Type="http://schemas.openxmlformats.org/officeDocument/2006/relationships/hyperlink" Target="https://www.teachthought.com/pedagogy/27-simple-ways-check-understanding/" TargetMode="External"/><Relationship Id="rId9" Type="http://schemas.openxmlformats.org/officeDocument/2006/relationships/hyperlink" Target="http://www.opencolleges.edu.au/informed/features/peer-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Ben</dc:creator>
  <cp:keywords/>
  <dc:description/>
  <cp:lastModifiedBy>Whitmore, Ben</cp:lastModifiedBy>
  <cp:revision>1</cp:revision>
  <dcterms:created xsi:type="dcterms:W3CDTF">2019-01-28T19:58:00Z</dcterms:created>
  <dcterms:modified xsi:type="dcterms:W3CDTF">2019-01-28T20:00:00Z</dcterms:modified>
</cp:coreProperties>
</file>